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CF344C" w:rsidRDefault="00D7503D" w:rsidP="00CF344C">
      <w:pPr>
        <w:jc w:val="center"/>
        <w:rPr>
          <w:sz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D6171F" w:rsidRPr="00D6171F">
        <w:rPr>
          <w:rFonts w:eastAsia="Times New Roman"/>
          <w:sz w:val="24"/>
          <w:szCs w:val="24"/>
        </w:rPr>
        <w:t>Санкт-Петербург, улица Типанова, уч. 293, (севернее д. 42, литера А по пр. Космонавтов)</w:t>
      </w:r>
    </w:p>
    <w:p w:rsidR="00A361CC" w:rsidRDefault="00A361CC" w:rsidP="00CF344C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DE70A2">
        <w:rPr>
          <w:rFonts w:eastAsia="Times New Roman"/>
          <w:sz w:val="24"/>
          <w:szCs w:val="24"/>
        </w:rPr>
        <w:t>2</w:t>
      </w:r>
      <w:r w:rsidR="00D6171F">
        <w:rPr>
          <w:rFonts w:eastAsia="Times New Roman"/>
          <w:sz w:val="24"/>
          <w:szCs w:val="24"/>
        </w:rPr>
        <w:t>4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D6171F">
        <w:rPr>
          <w:rFonts w:eastAsia="Times New Roman"/>
          <w:sz w:val="24"/>
          <w:szCs w:val="24"/>
        </w:rPr>
        <w:t>марта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EA0CD1">
        <w:rPr>
          <w:rFonts w:eastAsia="Times New Roman"/>
          <w:sz w:val="24"/>
          <w:szCs w:val="24"/>
        </w:rPr>
        <w:t>2</w:t>
      </w:r>
      <w:r w:rsidR="00D6171F">
        <w:rPr>
          <w:rFonts w:eastAsia="Times New Roman"/>
          <w:sz w:val="24"/>
          <w:szCs w:val="24"/>
        </w:rPr>
        <w:t>2</w:t>
      </w:r>
      <w:r w:rsidR="008F1976">
        <w:rPr>
          <w:rFonts w:eastAsia="Times New Roman"/>
          <w:sz w:val="24"/>
          <w:szCs w:val="24"/>
        </w:rPr>
        <w:t xml:space="preserve"> </w:t>
      </w:r>
      <w:r w:rsidR="00D6171F">
        <w:rPr>
          <w:rFonts w:eastAsia="Times New Roman"/>
          <w:sz w:val="24"/>
          <w:szCs w:val="24"/>
        </w:rPr>
        <w:t>апреля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r w:rsidR="000E3B1B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659"/>
        <w:gridCol w:w="1037"/>
        <w:gridCol w:w="1134"/>
        <w:gridCol w:w="1417"/>
        <w:gridCol w:w="7372"/>
        <w:gridCol w:w="3827"/>
      </w:tblGrid>
      <w:tr w:rsidR="0099670B" w:rsidTr="0099670B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9670B" w:rsidRPr="000F21C1" w:rsidRDefault="0076021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99670B" w:rsidTr="0099670B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99670B" w:rsidTr="00C72D5C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361C1D" w:rsidP="0099670B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BB47D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13</w:t>
            </w:r>
            <w:bookmarkStart w:id="0" w:name="_GoBack"/>
            <w:bookmarkEnd w:id="0"/>
          </w:p>
          <w:p w:rsidR="00C122E3" w:rsidRPr="000F21C1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0F21C1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99670B">
              <w:rPr>
                <w:sz w:val="15"/>
                <w:szCs w:val="15"/>
              </w:rPr>
              <w:t>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CE4E81" w:rsidTr="00C72D5C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Pr="000F21C1" w:rsidRDefault="00CE4E81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Pr="000F21C1" w:rsidRDefault="00CE4E81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81" w:rsidRPr="000F21C1" w:rsidRDefault="00CE4E81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Default="00CE4E81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Default="00CE4E81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Default="00CE4E81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CE4E81">
        <w:trPr>
          <w:trHeight w:val="31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CE4E81" w:rsidP="00CE4E8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89502D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361C1D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361C1D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Pr="000F21C1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99670B">
              <w:rPr>
                <w:sz w:val="15"/>
                <w:szCs w:val="15"/>
              </w:rPr>
              <w:t>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(колбаски), сосиски, сардельки, шпикачки, варено-копченые, полукопченые, сырокопченые, сыровяленые колбасы (включая салями), колбасы фаршированные, ливерные, сальтисоны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  <w:r w:rsidR="0099670B">
              <w:rPr>
                <w:sz w:val="15"/>
                <w:szCs w:val="15"/>
              </w:rPr>
              <w:t xml:space="preserve"> промышленной упаковке </w:t>
            </w:r>
            <w:r w:rsidR="0099670B"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 w:rsidR="0099670B">
              <w:rPr>
                <w:sz w:val="15"/>
                <w:szCs w:val="15"/>
              </w:rPr>
              <w:br/>
              <w:t xml:space="preserve">в соответствии </w:t>
            </w:r>
            <w:r w:rsidR="0099670B"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 w:rsidR="0099670B">
              <w:rPr>
                <w:sz w:val="15"/>
                <w:szCs w:val="15"/>
              </w:rPr>
              <w:br/>
              <w:t xml:space="preserve">в соответствии </w:t>
            </w:r>
            <w:r w:rsidR="0099670B"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 w:rsidR="0099670B"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89502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99670B">
              <w:rPr>
                <w:sz w:val="15"/>
                <w:szCs w:val="15"/>
              </w:rPr>
              <w:t>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89502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99670B">
              <w:rPr>
                <w:sz w:val="15"/>
                <w:szCs w:val="15"/>
              </w:rPr>
              <w:t>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89502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99670B">
              <w:rPr>
                <w:sz w:val="15"/>
                <w:szCs w:val="15"/>
              </w:rPr>
              <w:t>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2F7734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033479" w:rsidP="0099670B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361C1D" w:rsidP="0099670B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C5CD5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  <w:p w:rsidR="00C122E3" w:rsidRPr="000F21C1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="0099670B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2F7734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99670B">
        <w:trPr>
          <w:trHeight w:val="2325"/>
        </w:trPr>
        <w:tc>
          <w:tcPr>
            <w:tcW w:w="6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033479" w:rsidP="0099670B">
            <w:p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C5CD5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9</w:t>
            </w: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Pr="000F21C1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134E2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r w:rsidRPr="007A43CA">
              <w:rPr>
                <w:sz w:val="15"/>
                <w:szCs w:val="15"/>
              </w:rPr>
              <w:t>холлофайбера и т.п.</w:t>
            </w:r>
          </w:p>
          <w:p w:rsidR="0099670B" w:rsidRPr="00134E2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="0099670B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3E6491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033479" w:rsidP="0099670B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361C1D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22E3" w:rsidRDefault="00C122E3" w:rsidP="00033479">
            <w:pPr>
              <w:pStyle w:val="aa"/>
              <w:ind w:left="0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C5CD5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8,11</w:t>
            </w:r>
          </w:p>
          <w:p w:rsidR="00C122E3" w:rsidRPr="000F21C1" w:rsidRDefault="00C122E3" w:rsidP="00C122E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="0099670B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033479">
        <w:trPr>
          <w:trHeight w:val="64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3E649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3E6491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EA44D3">
        <w:trPr>
          <w:trHeight w:val="34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Вязаные чулки, получулки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5848FB">
        <w:trPr>
          <w:trHeight w:val="34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33479" w:rsidP="000F21C1">
            <w:pPr>
              <w:autoSpaceDE/>
              <w:autoSpaceDN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361C1D" w:rsidP="000F21C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Pr="00CC5CD5" w:rsidRDefault="00361C1D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10</w:t>
            </w:r>
          </w:p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CF796E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0F21C1" w:rsidRP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0F21C1" w:rsidTr="005848FB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CF796E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0F21C1">
        <w:trPr>
          <w:trHeight w:val="212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5848FB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5848FB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0D7075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0F21C1" w:rsidRPr="000D7075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5848FB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3D0512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447B58" w:rsidRDefault="00447B58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0C56F6">
      <w:headerReference w:type="default" r:id="rId8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9A" w:rsidRDefault="00B96A9A">
      <w:r>
        <w:separator/>
      </w:r>
    </w:p>
  </w:endnote>
  <w:endnote w:type="continuationSeparator" w:id="0">
    <w:p w:rsidR="00B96A9A" w:rsidRDefault="00B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9A" w:rsidRDefault="00B96A9A">
      <w:r>
        <w:separator/>
      </w:r>
    </w:p>
  </w:footnote>
  <w:footnote w:type="continuationSeparator" w:id="0">
    <w:p w:rsidR="00B96A9A" w:rsidRDefault="00B9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7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3479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1C1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96A9A"/>
    <w:rsid w:val="00BA167E"/>
    <w:rsid w:val="00BA1BEC"/>
    <w:rsid w:val="00BA1FBD"/>
    <w:rsid w:val="00BA4B3D"/>
    <w:rsid w:val="00BA728B"/>
    <w:rsid w:val="00BB12D0"/>
    <w:rsid w:val="00BB3C53"/>
    <w:rsid w:val="00BB4018"/>
    <w:rsid w:val="00BB47DA"/>
    <w:rsid w:val="00BB5E87"/>
    <w:rsid w:val="00BB62D6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22E3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C5CD5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970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DFB4-95DF-43E0-AC9E-8F454666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5</cp:revision>
  <cp:lastPrinted>2023-01-31T13:45:00Z</cp:lastPrinted>
  <dcterms:created xsi:type="dcterms:W3CDTF">2023-03-10T17:31:00Z</dcterms:created>
  <dcterms:modified xsi:type="dcterms:W3CDTF">2023-03-13T10:47:00Z</dcterms:modified>
</cp:coreProperties>
</file>