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504BFE" w:rsidRDefault="004B4556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9B6F0C" w:rsidRPr="00504BFE">
        <w:rPr>
          <w:rFonts w:eastAsia="Times New Roman"/>
          <w:sz w:val="24"/>
          <w:szCs w:val="28"/>
        </w:rPr>
        <w:t xml:space="preserve">ярмарке </w:t>
      </w:r>
      <w:r w:rsidR="00504BFE" w:rsidRPr="00504BFE">
        <w:rPr>
          <w:rFonts w:eastAsia="Times New Roman"/>
          <w:sz w:val="24"/>
          <w:szCs w:val="28"/>
        </w:rPr>
        <w:t xml:space="preserve">выходного дня по адресу: г. Санкт-Петербург, </w:t>
      </w:r>
      <w:r w:rsidR="00504BFE"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3250DD" w:rsidRPr="00504BFE" w:rsidRDefault="00504BFE" w:rsidP="004B4556">
      <w:pPr>
        <w:adjustRightInd w:val="0"/>
        <w:ind w:right="-2"/>
        <w:jc w:val="center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 xml:space="preserve">в период с </w:t>
      </w:r>
      <w:r w:rsidR="00B25783">
        <w:rPr>
          <w:sz w:val="24"/>
          <w:szCs w:val="28"/>
        </w:rPr>
        <w:t>22</w:t>
      </w:r>
      <w:r>
        <w:rPr>
          <w:sz w:val="24"/>
          <w:szCs w:val="28"/>
        </w:rPr>
        <w:t xml:space="preserve"> мая по </w:t>
      </w:r>
      <w:r w:rsidR="00B25783">
        <w:rPr>
          <w:sz w:val="24"/>
          <w:szCs w:val="28"/>
        </w:rPr>
        <w:t>23</w:t>
      </w:r>
      <w:bookmarkStart w:id="0" w:name="_GoBack"/>
      <w:bookmarkEnd w:id="0"/>
      <w:r>
        <w:rPr>
          <w:sz w:val="24"/>
          <w:szCs w:val="28"/>
        </w:rPr>
        <w:t xml:space="preserve"> мая 2021 года</w:t>
      </w: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хотс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эспрессо)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стрит-фуда (США, Франция) (по сувид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стрит-фуда, (бургеры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брауни, пирог лимонный, пирог яблочный, круассан, эклер, вупи-пай, 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lastRenderedPageBreak/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(эспрессо, американо, капучино, латте, раф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Выпечка: мучные кондитерские изделия, круассаны,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японской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Роллы и суширитто в ассортименте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Поке и Боулы в ассортименте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Суши и сашими в ассортименте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Супы в ассортименте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Десерты азиатской кухни -  моти в ассортименте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 2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Свежевыжатые соки и смузи в ассортименте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Маргарита; Пепперони; Ветчина грибы; Гругонзола; 4 сыра; Брискет; Парма руккола;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Спринг-роллы в ассортименте (с манго и креветками, с цыплёнком и грибами шиитаки,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>тские сендвичи в ассортименте (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бейгл с гуакамоле </w:t>
            </w:r>
            <w:r w:rsidR="007E4CF3">
              <w:rPr>
                <w:b w:val="0"/>
                <w:color w:val="auto"/>
                <w:sz w:val="16"/>
                <w:szCs w:val="16"/>
              </w:rPr>
              <w:t>и лососем, бан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Кондитерская (чешские трдельники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Чешские трдельники классические с различными начинками(нутелла,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стрит-фуда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lastRenderedPageBreak/>
              <w:t>Спринг-роллы в ассортименте (с манго и креветками, с цыплёнком и грибами шиитаки,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Боулы в ассортименте (с лососем и авокадо, с креветкой и манго, с хрустящим цыпленком и сезонными овощами, с томленой говядиной и битыми огурцами, с авокадо и  эдамаме)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Суп Тай том ям кунг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Гуа бао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Азиатские сендвичи в ассортименте (бейгл с гуакамоле и лососем, бан ми с говядиной и 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бан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стрит-фуда,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Мучные кондитерские изделия, сдобные изделия (печенье шоколодное, кокосовые брауни, пирог лимонный, пигор яблочный, круасссан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стрит-фуда</w:t>
            </w:r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стрит-фуда, в т.ч. шавермы и бургеров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1.Кокосовые креветки с фри и коу слоу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коу слоу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чаудер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экмек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6.Креветки в канзатском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10.Татаки тунец с понзу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(американо, капучино, рафи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американо, капучино, эспрессо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стрит-фуда, в том числе бургеров, фалафеля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специализи-рованная</w:t>
            </w:r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стрит-фуда, в том числе  бургеров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чикен-попсов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стрит-фуда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Закусочная специализи -рованная</w:t>
            </w: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(американо, капучино, раф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DC" w:rsidRDefault="00952FDC">
      <w:r>
        <w:separator/>
      </w:r>
    </w:p>
  </w:endnote>
  <w:endnote w:type="continuationSeparator" w:id="0">
    <w:p w:rsidR="00952FDC" w:rsidRDefault="0095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DC" w:rsidRDefault="00952FDC">
      <w:r>
        <w:separator/>
      </w:r>
    </w:p>
  </w:footnote>
  <w:footnote w:type="continuationSeparator" w:id="0">
    <w:p w:rsidR="00952FDC" w:rsidRDefault="0095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7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7C9"/>
    <w:rsid w:val="002658CD"/>
    <w:rsid w:val="002661C5"/>
    <w:rsid w:val="00266323"/>
    <w:rsid w:val="00273781"/>
    <w:rsid w:val="00276E3B"/>
    <w:rsid w:val="002800EC"/>
    <w:rsid w:val="002816B1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04F5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36B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2FDC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87569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5783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4D6F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7019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2ADD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4F"/>
    <w:rsid w:val="00E959C2"/>
    <w:rsid w:val="00E95AED"/>
    <w:rsid w:val="00EA3306"/>
    <w:rsid w:val="00EA7CB2"/>
    <w:rsid w:val="00EB09BA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96F9-F8C5-4D6A-8D72-BB1D5BA7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2021-04-06T10:07:00Z</cp:lastPrinted>
  <dcterms:created xsi:type="dcterms:W3CDTF">2021-04-26T13:31:00Z</dcterms:created>
  <dcterms:modified xsi:type="dcterms:W3CDTF">2021-04-26T13:31:00Z</dcterms:modified>
</cp:coreProperties>
</file>