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bookmarkStart w:id="0" w:name="_GoBack"/>
      <w:bookmarkEnd w:id="0"/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уч.28(северо-восточнее пересечения Московского пр. и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);</w:t>
      </w:r>
      <w:r w:rsid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уч.27(юго-западнее пересечения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 xml:space="preserve"> и Демонстрационного проезда)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DE70A2" w:rsidRPr="00743A99">
        <w:rPr>
          <w:rFonts w:eastAsia="Times New Roman"/>
          <w:sz w:val="24"/>
          <w:szCs w:val="24"/>
        </w:rPr>
        <w:t>2</w:t>
      </w:r>
      <w:r w:rsidR="00743A99" w:rsidRPr="00743A99">
        <w:rPr>
          <w:rFonts w:eastAsia="Times New Roman"/>
          <w:sz w:val="24"/>
          <w:szCs w:val="24"/>
        </w:rPr>
        <w:t>3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апреля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EA0CD1" w:rsidRPr="00743A99">
        <w:rPr>
          <w:rFonts w:eastAsia="Times New Roman"/>
          <w:sz w:val="24"/>
          <w:szCs w:val="24"/>
        </w:rPr>
        <w:t>2</w:t>
      </w:r>
      <w:r w:rsidR="00D6171F" w:rsidRPr="00743A99">
        <w:rPr>
          <w:rFonts w:eastAsia="Times New Roman"/>
          <w:sz w:val="24"/>
          <w:szCs w:val="24"/>
        </w:rPr>
        <w:t>2</w:t>
      </w:r>
      <w:r w:rsidR="008F1976" w:rsidRP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мая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713AA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7</w:t>
            </w:r>
            <w:r w:rsidR="00C13FB9">
              <w:rPr>
                <w:b/>
                <w:color w:val="C00000"/>
                <w:sz w:val="15"/>
                <w:szCs w:val="15"/>
              </w:rPr>
              <w:t>,8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85390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85390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85390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85390D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и грибы сушеные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2,4,6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13FB9" w:rsidTr="001F7C45">
        <w:trPr>
          <w:trHeight w:val="1238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Pr="000F21C1" w:rsidRDefault="00C13FB9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FB9" w:rsidRDefault="00C13FB9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C13FB9" w:rsidRDefault="00C13FB9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C13FB9" w:rsidRPr="000F21C1" w:rsidRDefault="00C13FB9" w:rsidP="001378FD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Pr="00E770B0" w:rsidRDefault="00C13FB9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E770B0">
              <w:rPr>
                <w:b/>
                <w:color w:val="C00000"/>
                <w:sz w:val="15"/>
                <w:szCs w:val="15"/>
              </w:rPr>
              <w:t xml:space="preserve">Галантерейные товары </w:t>
            </w: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FB9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C13FB9" w:rsidRDefault="00C13FB9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Default="00C13FB9" w:rsidP="0099670B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Tr="0064148B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D907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11,13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C13FB9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C13FB9">
              <w:rPr>
                <w:b/>
                <w:color w:val="C00000"/>
                <w:sz w:val="15"/>
                <w:szCs w:val="15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lastRenderedPageBreak/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B0331A">
              <w:rPr>
                <w:b/>
                <w:color w:val="C00000"/>
                <w:sz w:val="15"/>
                <w:szCs w:val="15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</w:p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из искусственной и натуральной кожи, искусственного меха, фетра, нетканых </w:t>
            </w:r>
          </w:p>
          <w:p w:rsidR="0064148B" w:rsidRPr="00820E66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B0331A">
              <w:rPr>
                <w:b/>
                <w:color w:val="C00000"/>
                <w:sz w:val="15"/>
                <w:szCs w:val="15"/>
              </w:rPr>
              <w:t>1</w:t>
            </w:r>
            <w:r w:rsidR="001378FD">
              <w:rPr>
                <w:b/>
                <w:color w:val="C00000"/>
                <w:sz w:val="15"/>
                <w:szCs w:val="15"/>
              </w:rPr>
              <w:t>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  <w:r w:rsidR="001378FD">
              <w:rPr>
                <w:sz w:val="15"/>
                <w:szCs w:val="15"/>
              </w:rPr>
              <w:t xml:space="preserve">. </w:t>
            </w:r>
            <w:r w:rsidR="001378FD" w:rsidRPr="00134E2B">
              <w:rPr>
                <w:sz w:val="15"/>
                <w:szCs w:val="15"/>
              </w:rPr>
              <w:t xml:space="preserve"> 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9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8BD2-934A-48F4-8AF6-CC5153ED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1411</Words>
  <Characters>11288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16</cp:revision>
  <cp:lastPrinted>2023-04-04T13:57:00Z</cp:lastPrinted>
  <dcterms:created xsi:type="dcterms:W3CDTF">2023-03-10T08:24:00Z</dcterms:created>
  <dcterms:modified xsi:type="dcterms:W3CDTF">2023-04-05T07:21:00Z</dcterms:modified>
</cp:coreProperties>
</file>